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新疆喀什地区巴楚县农业技术推广中心2019年度部门决算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农业技术推广中心承担着我县农业新技术推广、新品种的引进、植物保护、植物检疫、土壤肥料及作物栽培等专业的技术服务工作。负责全县农作物栽培技术进行指导、病虫害监测与防控，农业技术指导和农业技术咨询工作，从事社会公益性农业技术推广事业，提供社会普遍需要的农业技术公益性服务，农业新技术的引进试验、示范、推广及培训四大职责。依据法律法规授权或受政府委托承担植物检疫、农药管理执法的全额事业单位。</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新疆喀什地区巴楚县农业技术推广中心2</w:t>
      </w:r>
      <w:r>
        <w:rPr>
          <w:rFonts w:ascii="仿宋_GB2312" w:eastAsia="仿宋_GB2312"/>
          <w:sz w:val="32"/>
          <w:szCs w:val="32"/>
        </w:rPr>
        <w:t>019</w:t>
      </w:r>
      <w:r>
        <w:rPr>
          <w:rFonts w:hint="eastAsia" w:ascii="仿宋_GB2312" w:eastAsia="仿宋_GB2312"/>
          <w:sz w:val="32"/>
          <w:szCs w:val="32"/>
        </w:rPr>
        <w:t>年度，实有人数17人，其中：在职人员17人，离休人员0人，退休人员0人。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从部门决算单位构成看，新疆喀什地区巴楚县农业技术推广中心部门决算包括：新疆喀什地区巴楚县农业技术推广中心决算。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2019年度本年收入328.48万元，与上年相比，增加52.47万元，增长19.01%，主要原因是：</w:t>
      </w:r>
      <w:r>
        <w:rPr>
          <w:rFonts w:hint="eastAsia" w:ascii="仿宋_GB2312" w:eastAsia="仿宋_GB2312"/>
          <w:color w:val="000000" w:themeColor="text1"/>
          <w:sz w:val="32"/>
          <w:szCs w:val="32"/>
          <w14:textFill>
            <w14:solidFill>
              <w14:schemeClr w14:val="tx1"/>
            </w14:solidFill>
          </w14:textFill>
        </w:rPr>
        <w:t>2019年项目增加。</w:t>
      </w:r>
      <w:r>
        <w:rPr>
          <w:rFonts w:hint="eastAsia" w:ascii="仿宋_GB2312" w:eastAsia="仿宋_GB2312"/>
          <w:sz w:val="32"/>
          <w:szCs w:val="32"/>
        </w:rPr>
        <w:t>本年支出332.48万元，与上年相比，增加23.95万元，增长7.76%，主要原因是：</w:t>
      </w:r>
      <w:r>
        <w:rPr>
          <w:rFonts w:hint="eastAsia" w:ascii="仿宋_GB2312" w:eastAsia="仿宋_GB2312"/>
          <w:color w:val="000000" w:themeColor="text1"/>
          <w:sz w:val="32"/>
          <w:szCs w:val="32"/>
          <w14:textFill>
            <w14:solidFill>
              <w14:schemeClr w14:val="tx1"/>
            </w14:solidFill>
          </w14:textFill>
        </w:rPr>
        <w:t>2019年项目增加。</w:t>
      </w:r>
    </w:p>
    <w:p>
      <w:pPr>
        <w:ind w:firstLine="640" w:firstLineChars="200"/>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年度本年收入328.48万元，其中：财政拨款收入328.48万元，占100%；上级补助收入0万元，占0%；事业收入0万元，占0%；经营收入0万元，占0%；附属单位上缴收入0万元，占0%；其他收入0万元，占0%。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2019年度本年支出332.48万元，其中：基本支出246.64万元，占74.18%；项目支出85.85万元，占25.82%；上缴上级支出0万元，占0%；经营支出0万元，占0%；对附属单位补助支出0万元，占0%。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2019年度财政拨款收入328.48万元，与上年相比，增加52.47万元，增长19.01%，主要原因是：2019年项目增加。财政拨款支出332.48万元，与上年相比，增加23.95万元，增长7.76%，主要原因是：</w:t>
      </w:r>
      <w:r>
        <w:rPr>
          <w:rFonts w:ascii="仿宋_GB2312" w:eastAsia="仿宋_GB2312"/>
          <w:sz w:val="32"/>
          <w:szCs w:val="32"/>
        </w:rPr>
        <w:t>2019年项目增加。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214.21</w:t>
      </w:r>
      <w:r>
        <w:rPr>
          <w:rFonts w:hint="eastAsia" w:ascii="仿宋_GB2312" w:eastAsia="仿宋_GB2312"/>
          <w:sz w:val="32"/>
          <w:szCs w:val="32"/>
        </w:rPr>
        <w:t>万元，决算数328.48万元</w:t>
      </w:r>
      <w:r>
        <w:rPr>
          <w:rFonts w:ascii="仿宋_GB2312" w:eastAsia="仿宋_GB2312"/>
          <w:color w:val="000000" w:themeColor="text1"/>
          <w:sz w:val="32"/>
          <w:szCs w:val="32"/>
          <w14:textFill>
            <w14:solidFill>
              <w14:schemeClr w14:val="tx1"/>
            </w14:solidFill>
          </w14:textFill>
        </w:rPr>
        <w:t>，预决算差异率53.34%，主要原因是：2019年项目增加。</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214.21</w:t>
      </w:r>
      <w:r>
        <w:rPr>
          <w:rFonts w:hint="eastAsia" w:ascii="仿宋_GB2312" w:eastAsia="仿宋_GB2312"/>
          <w:sz w:val="32"/>
          <w:szCs w:val="32"/>
        </w:rPr>
        <w:t>万元，决算数332.48万元</w:t>
      </w:r>
      <w:r>
        <w:rPr>
          <w:rFonts w:ascii="仿宋_GB2312" w:eastAsia="仿宋_GB2312"/>
          <w:color w:val="000000" w:themeColor="text1"/>
          <w:sz w:val="32"/>
          <w:szCs w:val="32"/>
          <w14:textFill>
            <w14:solidFill>
              <w14:schemeClr w14:val="tx1"/>
            </w14:solidFill>
          </w14:textFill>
        </w:rPr>
        <w:t>，预决算差异率55.21%，主要原因是：2019年项目增加。</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年度一般公共预算财政拨款支出332.48万元。按功能分类科目项级科目公开，其中：</w:t>
      </w:r>
    </w:p>
    <w:p>
      <w:pPr>
        <w:rPr>
          <w:rFonts w:ascii="仿宋_GB2312" w:eastAsia="仿宋_GB2312"/>
          <w:sz w:val="32"/>
          <w:szCs w:val="32"/>
        </w:rPr>
      </w:pPr>
      <w:r>
        <w:rPr>
          <w:rFonts w:ascii="仿宋_GB2312" w:eastAsia="仿宋_GB2312"/>
          <w:sz w:val="32"/>
          <w:szCs w:val="32"/>
        </w:rPr>
        <w:t xml:space="preserve">   2080505机关事业单位基本养老保险缴费支出24.56万元；</w:t>
      </w:r>
      <w:r>
        <w:rPr>
          <w:rFonts w:ascii="仿宋_GB2312" w:eastAsia="仿宋_GB2312"/>
          <w:sz w:val="32"/>
          <w:szCs w:val="32"/>
        </w:rPr>
        <w:br w:type="textWrapping"/>
      </w:r>
      <w:r>
        <w:rPr>
          <w:rFonts w:ascii="仿宋_GB2312" w:eastAsia="仿宋_GB2312"/>
          <w:sz w:val="32"/>
          <w:szCs w:val="32"/>
        </w:rPr>
        <w:t xml:space="preserve">   2101102事业单位医疗支出14.98万元；</w:t>
      </w:r>
      <w:r>
        <w:rPr>
          <w:rFonts w:ascii="仿宋_GB2312" w:eastAsia="仿宋_GB2312"/>
          <w:sz w:val="32"/>
          <w:szCs w:val="32"/>
        </w:rPr>
        <w:br w:type="textWrapping"/>
      </w:r>
      <w:r>
        <w:rPr>
          <w:rFonts w:ascii="仿宋_GB2312" w:eastAsia="仿宋_GB2312"/>
          <w:sz w:val="32"/>
          <w:szCs w:val="32"/>
        </w:rPr>
        <w:t xml:space="preserve">   2130104事业运行支出190.77万元；</w:t>
      </w:r>
      <w:r>
        <w:rPr>
          <w:rFonts w:ascii="仿宋_GB2312" w:eastAsia="仿宋_GB2312"/>
          <w:sz w:val="32"/>
          <w:szCs w:val="32"/>
        </w:rPr>
        <w:br w:type="textWrapping"/>
      </w:r>
      <w:r>
        <w:rPr>
          <w:rFonts w:ascii="仿宋_GB2312" w:eastAsia="仿宋_GB2312"/>
          <w:sz w:val="32"/>
          <w:szCs w:val="32"/>
        </w:rPr>
        <w:t xml:space="preserve">   2130106科技转化与推广服务支出57.85万元；</w:t>
      </w:r>
      <w:r>
        <w:rPr>
          <w:rFonts w:ascii="仿宋_GB2312" w:eastAsia="仿宋_GB2312"/>
          <w:sz w:val="32"/>
          <w:szCs w:val="32"/>
        </w:rPr>
        <w:br w:type="textWrapping"/>
      </w:r>
      <w:r>
        <w:rPr>
          <w:rFonts w:ascii="仿宋_GB2312" w:eastAsia="仿宋_GB2312"/>
          <w:sz w:val="32"/>
          <w:szCs w:val="32"/>
        </w:rPr>
        <w:t xml:space="preserve">   2130119防灾救灾支出18万元；</w:t>
      </w:r>
      <w:r>
        <w:rPr>
          <w:rFonts w:ascii="仿宋_GB2312" w:eastAsia="仿宋_GB2312"/>
          <w:sz w:val="32"/>
          <w:szCs w:val="32"/>
        </w:rPr>
        <w:br w:type="textWrapping"/>
      </w:r>
      <w:r>
        <w:rPr>
          <w:rFonts w:ascii="仿宋_GB2312" w:eastAsia="仿宋_GB2312"/>
          <w:sz w:val="32"/>
          <w:szCs w:val="32"/>
        </w:rPr>
        <w:t xml:space="preserve">   2210201住房公积金支出16.32万元；</w:t>
      </w:r>
      <w:r>
        <w:rPr>
          <w:rFonts w:ascii="仿宋_GB2312" w:eastAsia="仿宋_GB2312"/>
          <w:sz w:val="32"/>
          <w:szCs w:val="32"/>
        </w:rPr>
        <w:br w:type="textWrapping"/>
      </w:r>
      <w:r>
        <w:rPr>
          <w:rFonts w:ascii="仿宋_GB2312" w:eastAsia="仿宋_GB2312"/>
          <w:sz w:val="32"/>
          <w:szCs w:val="32"/>
        </w:rPr>
        <w:t xml:space="preserve">   2299901其他支出10万元。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年度一般公共预算财政拨款基本支出246.64万元，其中：</w:t>
      </w:r>
    </w:p>
    <w:p>
      <w:pPr>
        <w:ind w:firstLine="640" w:firstLineChars="200"/>
        <w:rPr>
          <w:rFonts w:ascii="仿宋_GB2312" w:eastAsia="仿宋_GB2312"/>
          <w:sz w:val="32"/>
          <w:szCs w:val="32"/>
        </w:rPr>
      </w:pPr>
      <w:r>
        <w:rPr>
          <w:rFonts w:hint="eastAsia" w:ascii="仿宋_GB2312" w:eastAsia="仿宋_GB2312"/>
          <w:sz w:val="32"/>
          <w:szCs w:val="32"/>
        </w:rPr>
        <w:t>人员经费236.44万元，包括：基本工资、津贴补贴、奖金、机关事业单位基本养老保险缴费、职工基本医疗保险缴费、其他社会保障缴费、住房公积金、</w:t>
      </w:r>
      <w:r>
        <w:rPr>
          <w:rFonts w:hint="eastAsia" w:ascii="仿宋_GB2312" w:eastAsia="仿宋_GB2312"/>
          <w:color w:val="auto"/>
          <w:sz w:val="32"/>
          <w:szCs w:val="32"/>
          <w:lang w:eastAsia="zh-CN"/>
        </w:rPr>
        <w:t>对个人和家庭的补助、</w:t>
      </w:r>
      <w:r>
        <w:rPr>
          <w:rFonts w:hint="eastAsia" w:ascii="仿宋_GB2312" w:eastAsia="仿宋_GB2312"/>
          <w:sz w:val="32"/>
          <w:szCs w:val="32"/>
        </w:rPr>
        <w:t>退休费、抚恤金、生活补助。</w:t>
      </w:r>
    </w:p>
    <w:p>
      <w:pPr>
        <w:ind w:firstLine="640" w:firstLineChars="200"/>
        <w:rPr>
          <w:rFonts w:ascii="仿宋_GB2312" w:eastAsia="仿宋_GB2312"/>
          <w:sz w:val="32"/>
          <w:szCs w:val="32"/>
        </w:rPr>
      </w:pPr>
      <w:r>
        <w:rPr>
          <w:rFonts w:hint="eastAsia" w:ascii="仿宋_GB2312" w:eastAsia="仿宋_GB2312"/>
          <w:sz w:val="32"/>
          <w:szCs w:val="32"/>
        </w:rPr>
        <w:t>公用经费10.20万元，包括：办公费、印刷费、手续费、邮电费、差旅费、维修（护）费、劳务费、委托业务费、公务用车运行维护费。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6万元，比上年增加3.28万元，增长120.59%，主要原因是业务量增加，出差较多，三公经费增加。其中，因公出国（境）费支出0万元，占0%，比上年增加0万元，增长0%，主要原因是无此项内容；公务用车购置及运行维护费支出6万元，占100%，比上年增加3.28万元，增长120.59%，主要原因是业务量增加，出差较多，三公经费增加；公务接待费支出0万元，占0%，比上年增加0万元，增长0%，主要原因是无此项内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无此项内容。</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公务用车购置及运行维护费6万元，其中，公务用车购置费0万元，公务用车运行维护费6万元。公务用车运行维护费开支内容包括燃油费、车辆维护费。公务用车购置数0辆，公务用车保有量3辆。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公务接待费0万元，开支内容包括无此项内容。单位全年安排的国内公务接待0批次，0人次。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w:t>
      </w:r>
      <w:r>
        <w:rPr>
          <w:rFonts w:hint="eastAsia" w:ascii="仿宋_GB2312" w:eastAsia="仿宋_GB2312"/>
          <w:color w:val="000000" w:themeColor="text1"/>
          <w:sz w:val="32"/>
          <w:szCs w:val="32"/>
          <w:lang w:eastAsia="zh-CN"/>
          <w14:textFill>
            <w14:solidFill>
              <w14:schemeClr w14:val="tx1"/>
            </w14:solidFill>
          </w14:textFill>
        </w:rPr>
        <w:t>按照年初预算数执行</w:t>
      </w:r>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w:t>
      </w:r>
      <w:r>
        <w:rPr>
          <w:rFonts w:hint="eastAsia" w:ascii="仿宋_GB2312" w:eastAsia="仿宋_GB2312"/>
          <w:color w:val="000000" w:themeColor="text1"/>
          <w:sz w:val="32"/>
          <w:szCs w:val="32"/>
          <w:lang w:eastAsia="zh-CN"/>
          <w14:textFill>
            <w14:solidFill>
              <w14:schemeClr w14:val="tx1"/>
            </w14:solidFill>
          </w14:textFill>
        </w:rPr>
        <w:t>按照年初预算数执行</w:t>
      </w:r>
      <w:bookmarkStart w:id="54" w:name="_GoBack"/>
      <w:bookmarkEnd w:id="54"/>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lang w:val="en-US" w:eastAsia="zh-CN"/>
          <w14:textFill>
            <w14:solidFill>
              <w14:schemeClr w14:val="tx1"/>
            </w14:solidFill>
          </w14:textFill>
        </w:rPr>
        <w:t>2019年度</w:t>
      </w:r>
      <w:r>
        <w:rPr>
          <w:rFonts w:hint="eastAsia" w:ascii="仿宋_GB2312" w:eastAsia="仿宋_GB2312"/>
          <w:color w:val="000000" w:themeColor="text1"/>
          <w:sz w:val="32"/>
          <w:szCs w:val="32"/>
          <w14:textFill>
            <w14:solidFill>
              <w14:schemeClr w14:val="tx1"/>
            </w14:solidFill>
          </w14:textFill>
        </w:rPr>
        <w:t>新疆喀什地区巴楚县农业技术推广中心日常公用经费10.20万元，比上年增加4.11万元，增长67.49%，主要原因是日常公用经费商品和服务支出增加。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年度政府采购支出总额47.97万元，其中：政府采购货物支出47.76万元、政府采购工程支出0万元、政府采购服务支出0.21万元。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授予中小企业合同金额47.97万元，占政府采购支出总额的100%，其中：授予小微企业合同金额46.12万元，占政府采购支出总额的96.14%。</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年12月31日，单位共有房屋0（平方米），价值0万元。车辆3辆，价值49万元，其中：副部（省）级及以上领导用车0辆、主要领导干部用车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辆、执法执勤用车0辆、特种专业技术用车0辆、离退休干部用车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辆、其他用车</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辆，其他用车主要是：</w:t>
      </w:r>
      <w:r>
        <w:rPr>
          <w:rFonts w:ascii="仿宋_GB2312" w:eastAsia="仿宋_GB2312"/>
          <w:color w:val="000000" w:themeColor="text1"/>
          <w:sz w:val="32"/>
          <w:szCs w:val="32"/>
          <w14:textFill>
            <w14:solidFill>
              <w14:schemeClr w14:val="tx1"/>
            </w14:solidFill>
          </w14:textFill>
        </w:rPr>
        <w:t>日常公务用车；</w:t>
      </w:r>
      <w:r>
        <w:rPr>
          <w:rFonts w:hint="eastAsia" w:ascii="仿宋_GB2312" w:eastAsia="仿宋_GB2312"/>
          <w:sz w:val="32"/>
          <w:szCs w:val="32"/>
        </w:rPr>
        <w:t>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根据预算绩效管理要求，我单位2019年度开展预算绩效评价项目4个。预算绩效管理取得的成效：一是产出指标评价：</w:t>
      </w:r>
      <w:r>
        <w:rPr>
          <w:rFonts w:hint="eastAsia" w:ascii="仿宋_GB2312" w:eastAsia="仿宋_GB2312"/>
          <w:sz w:val="32"/>
          <w:szCs w:val="32"/>
          <w:highlight w:val="none"/>
          <w:lang w:val="en-US" w:eastAsia="zh-CN"/>
        </w:rPr>
        <w:t>建成各类试验示范10大项19个示范基地，结合示范开展农业科技集中培训1次，覆盖250人次，田间现场培训覆盖425人次，推广使用中国农技APP，主推技术落实15项，其中，棉花良种推广率71%以上，小麦玉米良种推广率100%；为落实农作物病虫害防治，在全县建立草地贪夜蛾监测点5个，给10个乡镇发放应急储备农药3000公斤，发布《农作物病虫情报》12期次；鼓励农技人员下乡开展调查、指导，向11个乡镇发放主要病虫害防治技术手册1949份。</w:t>
      </w:r>
      <w:r>
        <w:rPr>
          <w:rFonts w:hint="eastAsia" w:ascii="仿宋_GB2312" w:eastAsia="仿宋_GB2312"/>
          <w:sz w:val="32"/>
          <w:szCs w:val="32"/>
          <w:highlight w:val="none"/>
        </w:rPr>
        <w:t>二是效益指标评价：棉花高产高效示范增收10%以上</w:t>
      </w:r>
      <w:r>
        <w:rPr>
          <w:rFonts w:hint="eastAsia" w:ascii="仿宋_GB2312" w:eastAsia="仿宋_GB2312"/>
          <w:sz w:val="32"/>
          <w:szCs w:val="32"/>
          <w:highlight w:val="none"/>
          <w:lang w:eastAsia="zh-CN"/>
        </w:rPr>
        <w:t>，有效提升农户科学种田水平；</w:t>
      </w:r>
      <w:r>
        <w:rPr>
          <w:rFonts w:hint="eastAsia" w:ascii="仿宋_GB2312" w:eastAsia="仿宋_GB2312"/>
          <w:sz w:val="32"/>
          <w:szCs w:val="32"/>
          <w:highlight w:val="none"/>
        </w:rPr>
        <w:t>改善科技种植环境</w:t>
      </w:r>
      <w:r>
        <w:rPr>
          <w:rFonts w:hint="eastAsia" w:ascii="仿宋_GB2312" w:eastAsia="仿宋_GB2312"/>
          <w:sz w:val="32"/>
          <w:szCs w:val="32"/>
          <w:highlight w:val="none"/>
          <w:lang w:eastAsia="zh-CN"/>
        </w:rPr>
        <w:t>，提高农户对重大病虫害的认知，有效提升农户科学防治重大病虫害水平。</w:t>
      </w:r>
      <w:r>
        <w:rPr>
          <w:rFonts w:hint="eastAsia" w:ascii="仿宋_GB2312" w:eastAsia="仿宋_GB2312"/>
          <w:sz w:val="32"/>
          <w:szCs w:val="32"/>
          <w:highlight w:val="none"/>
        </w:rPr>
        <w:t>三是满意度指标评价：根据调查问卷，满意度指标完成</w:t>
      </w:r>
      <w:r>
        <w:rPr>
          <w:rFonts w:hint="eastAsia" w:ascii="仿宋_GB2312" w:eastAsia="仿宋_GB2312"/>
          <w:sz w:val="32"/>
          <w:szCs w:val="32"/>
          <w:highlight w:val="none"/>
          <w:lang w:eastAsia="zh-CN"/>
        </w:rPr>
        <w:t>超过</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。发现的问题及原因：一</w:t>
      </w:r>
      <w:r>
        <w:rPr>
          <w:rFonts w:hint="eastAsia" w:ascii="仿宋_GB2312" w:eastAsia="仿宋_GB2312"/>
          <w:sz w:val="32"/>
          <w:szCs w:val="32"/>
          <w:highlight w:val="none"/>
          <w:lang w:eastAsia="zh-CN"/>
        </w:rPr>
        <w:t>是</w:t>
      </w:r>
      <w:r>
        <w:rPr>
          <w:rFonts w:hint="eastAsia" w:ascii="仿宋_GB2312" w:eastAsia="仿宋_GB2312"/>
          <w:sz w:val="32"/>
          <w:szCs w:val="32"/>
          <w:highlight w:val="none"/>
        </w:rPr>
        <w:t>棉蚜、棉叶螨防控不及时，对农业生产造成一定影响</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二是绩效管理机构人员不健全基础管理工作比较薄弱。</w:t>
      </w:r>
      <w:r>
        <w:rPr>
          <w:rFonts w:hint="eastAsia" w:ascii="仿宋_GB2312" w:eastAsia="仿宋_GB2312"/>
          <w:sz w:val="32"/>
          <w:szCs w:val="32"/>
          <w:highlight w:val="none"/>
          <w:lang w:eastAsia="zh-CN"/>
        </w:rPr>
        <w:t>三</w:t>
      </w:r>
      <w:r>
        <w:rPr>
          <w:rFonts w:hint="eastAsia" w:ascii="仿宋_GB2312" w:eastAsia="仿宋_GB2312"/>
          <w:sz w:val="32"/>
          <w:szCs w:val="32"/>
          <w:highlight w:val="none"/>
        </w:rPr>
        <w:t>是项目进度比较迟缓，各项目资金支付不能按照时间节点比例及时支付。下一步改进措施：一是年初做好资金计划，按照项目进度及时拨付资金，使资金使用效益最大化，减少不必要的浪费。二是加强财务管理，严格财务审核。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6792773"/>
    <w:rsid w:val="098C58FD"/>
    <w:rsid w:val="1D7931DE"/>
    <w:rsid w:val="1DAF458D"/>
    <w:rsid w:val="2A053397"/>
    <w:rsid w:val="2D1136DF"/>
    <w:rsid w:val="31C63837"/>
    <w:rsid w:val="3D5275AC"/>
    <w:rsid w:val="453A7CE2"/>
    <w:rsid w:val="46901EEE"/>
    <w:rsid w:val="469C74D2"/>
    <w:rsid w:val="4FB555D2"/>
    <w:rsid w:val="50DB5F45"/>
    <w:rsid w:val="69AD798C"/>
    <w:rsid w:val="6B68175F"/>
    <w:rsid w:val="6CA075F5"/>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0</TotalTime>
  <ScaleCrop>false</ScaleCrop>
  <LinksUpToDate>false</LinksUpToDate>
  <CharactersWithSpaces>6915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Administrator</cp:lastModifiedBy>
  <dcterms:modified xsi:type="dcterms:W3CDTF">2021-06-22T08:26:08Z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